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D14BE" w14:textId="77777777" w:rsidR="00BF7BC5" w:rsidRDefault="00062CDB">
      <w:pPr>
        <w:pStyle w:val="Title1"/>
      </w:pPr>
      <w:r>
        <w:t>Barnwell Academy Climate Action Plan 2026 2027</w:t>
      </w:r>
    </w:p>
    <w:p w14:paraId="162187CE" w14:textId="5E834E2A" w:rsidR="00BF7BC5" w:rsidRDefault="00062CDB">
      <w:r>
        <w:t>Plan period September 2026 to July 2027   |   Annual review September</w:t>
      </w:r>
      <w:r>
        <w:t xml:space="preserve"> 2027</w:t>
      </w:r>
    </w:p>
    <w:p w14:paraId="1F63A7F4" w14:textId="77777777" w:rsidR="00BF7BC5" w:rsidRDefault="00062CDB">
      <w:pPr>
        <w:pStyle w:val="Heading11"/>
      </w:pPr>
      <w:r>
        <w:t>Introduction</w:t>
      </w:r>
    </w:p>
    <w:p w14:paraId="4D2F055F" w14:textId="77777777" w:rsidR="00BF7BC5" w:rsidRDefault="00062CDB">
      <w:r>
        <w:t xml:space="preserve">This plan sets out Barnwell Academy’s priorities for reducing its environmental impact, improving biodiversity and </w:t>
      </w:r>
      <w:r>
        <w:t>developing pupils’ understanding of sustainability during 2026–2027. This year, we will review progress against our previous plan, embed practical routines and use simple evidence to identify our next steps. Our priorities cover decarbonisation, adaptation</w:t>
      </w:r>
      <w:r>
        <w:t xml:space="preserve"> and resilience, biodiversity and climate education.</w:t>
      </w:r>
    </w:p>
    <w:p w14:paraId="1FEDDD2A" w14:textId="77777777" w:rsidR="00BF7BC5" w:rsidRDefault="00062CDB">
      <w:pPr>
        <w:pStyle w:val="Heading11"/>
      </w:pPr>
      <w:r>
        <w:t>Vision and Objectives</w:t>
      </w:r>
    </w:p>
    <w:p w14:paraId="034A4AF6" w14:textId="77777777" w:rsidR="00BF7BC5" w:rsidRDefault="00062CDB">
      <w:r>
        <w:t>To empower our pupils, staff and community to become environmentally responsible citizens through education, action and leadership.</w:t>
      </w:r>
    </w:p>
    <w:p w14:paraId="542A6368" w14:textId="77777777" w:rsidR="00BF7BC5" w:rsidRDefault="00062CDB">
      <w:pPr>
        <w:pStyle w:val="ListBullet1"/>
      </w:pPr>
      <w:r>
        <w:t xml:space="preserve">Confirm sustainability leadership and strengthen </w:t>
      </w:r>
      <w:r>
        <w:t>pupil involvement through the Green Team.</w:t>
      </w:r>
    </w:p>
    <w:p w14:paraId="793474C8" w14:textId="77777777" w:rsidR="00BF7BC5" w:rsidRDefault="00062CDB">
      <w:pPr>
        <w:pStyle w:val="ListBullet1"/>
      </w:pPr>
      <w:r>
        <w:t>Review energy use and identify practical opportunities to reduce waste and emissions.</w:t>
      </w:r>
    </w:p>
    <w:p w14:paraId="6C7111FE" w14:textId="77777777" w:rsidR="00BF7BC5" w:rsidRDefault="00062CDB">
      <w:pPr>
        <w:pStyle w:val="ListBullet1"/>
      </w:pPr>
      <w:r>
        <w:t>Improve habitats and increase pupils’ involvement in caring for our school grounds.</w:t>
      </w:r>
    </w:p>
    <w:p w14:paraId="48CC287F" w14:textId="77777777" w:rsidR="00BF7BC5" w:rsidRDefault="00062CDB">
      <w:pPr>
        <w:pStyle w:val="ListBullet1"/>
      </w:pPr>
      <w:r>
        <w:t>Strengthen climate education within the exis</w:t>
      </w:r>
      <w:r>
        <w:t>ting curriculum and outdoor learning.</w:t>
      </w:r>
    </w:p>
    <w:p w14:paraId="5B3A6747" w14:textId="77777777" w:rsidR="00BF7BC5" w:rsidRDefault="00062CDB">
      <w:pPr>
        <w:pStyle w:val="ListBullet1"/>
      </w:pPr>
      <w:r>
        <w:t>Review arrangements for extreme weather and encourage safe, active travel.</w:t>
      </w:r>
    </w:p>
    <w:p w14:paraId="6A98F225" w14:textId="77777777" w:rsidR="00BF7BC5" w:rsidRDefault="00062CDB">
      <w:pPr>
        <w:pStyle w:val="Heading11"/>
      </w:pPr>
      <w:r>
        <w:t>Current Achievements and Continuing Work</w:t>
      </w:r>
    </w:p>
    <w:p w14:paraId="088E701A" w14:textId="77777777" w:rsidR="00BF7BC5" w:rsidRDefault="00062CDB">
      <w:r>
        <w:t>Solar panels have been installed on the Monument Centre, providing on-site renewable electricity and o</w:t>
      </w:r>
      <w:r>
        <w:t>pportunities for pupils to learn about sustainable energy.</w:t>
      </w:r>
    </w:p>
    <w:p w14:paraId="5B6F562F" w14:textId="77777777" w:rsidR="00BF7BC5" w:rsidRDefault="00062CDB">
      <w:r>
        <w:t>The previous plan identified an ongoing transition to LED lighting. During autumn 2026, we will confirm progress and identify any remaining areas for improvement.</w:t>
      </w:r>
    </w:p>
    <w:p w14:paraId="594A2084" w14:textId="77777777" w:rsidR="00BF7BC5" w:rsidRDefault="00062CDB">
      <w:r>
        <w:t>Previous participation in Litterfr</w:t>
      </w:r>
      <w:r>
        <w:t>ee for Wildlife, in partnership with Sunderland City Council’s Low Carbon Team and Durham Wildlife Trust, provides a foundation for continued litter reduction and care for wildlife.</w:t>
      </w:r>
    </w:p>
    <w:p w14:paraId="0BCE40D2" w14:textId="77777777" w:rsidR="00BF7BC5" w:rsidRDefault="00062CDB">
      <w:r>
        <w:br w:type="page"/>
      </w:r>
    </w:p>
    <w:p w14:paraId="02997C1A" w14:textId="77777777" w:rsidR="00BF7BC5" w:rsidRDefault="00062CDB">
      <w:pPr>
        <w:pStyle w:val="Heading11"/>
      </w:pPr>
      <w:r>
        <w:lastRenderedPageBreak/>
        <w:t>Strategic Action Plan</w:t>
      </w:r>
    </w:p>
    <w:tbl>
      <w:tblPr>
        <w:tblW w:w="0" w:type="auto"/>
        <w:jc w:val="center"/>
        <w:tblLayout w:type="fixed"/>
        <w:tblLook w:val="04A0" w:firstRow="1" w:lastRow="0" w:firstColumn="1" w:lastColumn="0" w:noHBand="0" w:noVBand="1"/>
      </w:tblPr>
      <w:tblGrid>
        <w:gridCol w:w="1901"/>
        <w:gridCol w:w="7272"/>
        <w:gridCol w:w="1440"/>
        <w:gridCol w:w="1944"/>
        <w:gridCol w:w="2376"/>
      </w:tblGrid>
      <w:tr w:rsidR="00BF7BC5" w14:paraId="05619E50" w14:textId="77777777">
        <w:trPr>
          <w:cantSplit/>
          <w:tblHeader/>
          <w:jc w:val="center"/>
        </w:trPr>
        <w:tc>
          <w:tcPr>
            <w:tcW w:w="1901" w:type="dxa"/>
            <w:tcBorders>
              <w:top w:val="single" w:sz="4" w:space="0" w:color="D9D9D9"/>
              <w:left w:val="single" w:sz="4" w:space="0" w:color="D9D9D9"/>
              <w:bottom w:val="single" w:sz="4" w:space="0" w:color="D9D9D9"/>
              <w:right w:val="single" w:sz="4" w:space="0" w:color="D9D9D9"/>
            </w:tcBorders>
            <w:shd w:val="clear" w:color="auto" w:fill="17365D"/>
            <w:tcMar>
              <w:top w:w="95" w:type="dxa"/>
              <w:left w:w="95" w:type="dxa"/>
              <w:bottom w:w="95" w:type="dxa"/>
              <w:right w:w="95" w:type="dxa"/>
            </w:tcMar>
            <w:vAlign w:val="center"/>
          </w:tcPr>
          <w:p w14:paraId="553AB3AE" w14:textId="77777777" w:rsidR="00BF7BC5" w:rsidRDefault="00062CDB">
            <w:pPr>
              <w:spacing w:after="80" w:line="240" w:lineRule="auto"/>
            </w:pPr>
            <w:r>
              <w:rPr>
                <w:b/>
                <w:color w:val="FFFFFF"/>
                <w:sz w:val="20"/>
              </w:rPr>
              <w:t>Strategic area</w:t>
            </w:r>
          </w:p>
        </w:tc>
        <w:tc>
          <w:tcPr>
            <w:tcW w:w="7272" w:type="dxa"/>
            <w:tcBorders>
              <w:top w:val="single" w:sz="4" w:space="0" w:color="D9D9D9"/>
              <w:left w:val="single" w:sz="4" w:space="0" w:color="D9D9D9"/>
              <w:bottom w:val="single" w:sz="4" w:space="0" w:color="D9D9D9"/>
              <w:right w:val="single" w:sz="4" w:space="0" w:color="D9D9D9"/>
            </w:tcBorders>
            <w:shd w:val="clear" w:color="auto" w:fill="17365D"/>
            <w:tcMar>
              <w:top w:w="95" w:type="dxa"/>
              <w:left w:w="95" w:type="dxa"/>
              <w:bottom w:w="95" w:type="dxa"/>
              <w:right w:w="95" w:type="dxa"/>
            </w:tcMar>
            <w:vAlign w:val="center"/>
          </w:tcPr>
          <w:p w14:paraId="480C09EE" w14:textId="77777777" w:rsidR="00BF7BC5" w:rsidRDefault="00062CDB">
            <w:pPr>
              <w:spacing w:after="80" w:line="240" w:lineRule="auto"/>
            </w:pPr>
            <w:r>
              <w:rPr>
                <w:b/>
                <w:color w:val="FFFFFF"/>
                <w:sz w:val="20"/>
              </w:rPr>
              <w:t>Actions and success measures</w:t>
            </w:r>
          </w:p>
        </w:tc>
        <w:tc>
          <w:tcPr>
            <w:tcW w:w="1440" w:type="dxa"/>
            <w:tcBorders>
              <w:top w:val="single" w:sz="4" w:space="0" w:color="D9D9D9"/>
              <w:left w:val="single" w:sz="4" w:space="0" w:color="D9D9D9"/>
              <w:bottom w:val="single" w:sz="4" w:space="0" w:color="D9D9D9"/>
              <w:right w:val="single" w:sz="4" w:space="0" w:color="D9D9D9"/>
            </w:tcBorders>
            <w:shd w:val="clear" w:color="auto" w:fill="17365D"/>
            <w:tcMar>
              <w:top w:w="95" w:type="dxa"/>
              <w:left w:w="95" w:type="dxa"/>
              <w:bottom w:w="95" w:type="dxa"/>
              <w:right w:w="95" w:type="dxa"/>
            </w:tcMar>
            <w:vAlign w:val="center"/>
          </w:tcPr>
          <w:p w14:paraId="10E5D9A3" w14:textId="77777777" w:rsidR="00BF7BC5" w:rsidRDefault="00062CDB">
            <w:pPr>
              <w:spacing w:after="80" w:line="240" w:lineRule="auto"/>
            </w:pPr>
            <w:r>
              <w:rPr>
                <w:b/>
                <w:color w:val="FFFFFF"/>
                <w:sz w:val="20"/>
              </w:rPr>
              <w:t>Timeli</w:t>
            </w:r>
            <w:r>
              <w:rPr>
                <w:b/>
                <w:color w:val="FFFFFF"/>
                <w:sz w:val="20"/>
              </w:rPr>
              <w:t>ne</w:t>
            </w:r>
          </w:p>
        </w:tc>
        <w:tc>
          <w:tcPr>
            <w:tcW w:w="1944" w:type="dxa"/>
            <w:tcBorders>
              <w:top w:val="single" w:sz="4" w:space="0" w:color="D9D9D9"/>
              <w:left w:val="single" w:sz="4" w:space="0" w:color="D9D9D9"/>
              <w:bottom w:val="single" w:sz="4" w:space="0" w:color="D9D9D9"/>
              <w:right w:val="single" w:sz="4" w:space="0" w:color="D9D9D9"/>
            </w:tcBorders>
            <w:shd w:val="clear" w:color="auto" w:fill="17365D"/>
            <w:tcMar>
              <w:top w:w="95" w:type="dxa"/>
              <w:left w:w="95" w:type="dxa"/>
              <w:bottom w:w="95" w:type="dxa"/>
              <w:right w:w="95" w:type="dxa"/>
            </w:tcMar>
            <w:vAlign w:val="center"/>
          </w:tcPr>
          <w:p w14:paraId="5CDB0473" w14:textId="77777777" w:rsidR="00BF7BC5" w:rsidRDefault="00062CDB">
            <w:pPr>
              <w:spacing w:after="80" w:line="240" w:lineRule="auto"/>
            </w:pPr>
            <w:r>
              <w:rPr>
                <w:b/>
                <w:color w:val="FFFFFF"/>
                <w:sz w:val="20"/>
              </w:rPr>
              <w:t>Lead</w:t>
            </w:r>
          </w:p>
        </w:tc>
        <w:tc>
          <w:tcPr>
            <w:tcW w:w="2376" w:type="dxa"/>
            <w:tcBorders>
              <w:top w:val="single" w:sz="4" w:space="0" w:color="D9D9D9"/>
              <w:left w:val="single" w:sz="4" w:space="0" w:color="D9D9D9"/>
              <w:bottom w:val="single" w:sz="4" w:space="0" w:color="D9D9D9"/>
              <w:right w:val="single" w:sz="4" w:space="0" w:color="D9D9D9"/>
            </w:tcBorders>
            <w:shd w:val="clear" w:color="auto" w:fill="17365D"/>
            <w:tcMar>
              <w:top w:w="95" w:type="dxa"/>
              <w:left w:w="95" w:type="dxa"/>
              <w:bottom w:w="95" w:type="dxa"/>
              <w:right w:w="95" w:type="dxa"/>
            </w:tcMar>
            <w:vAlign w:val="center"/>
          </w:tcPr>
          <w:p w14:paraId="59469F7F" w14:textId="77777777" w:rsidR="00BF7BC5" w:rsidRDefault="00062CDB">
            <w:pPr>
              <w:spacing w:after="80" w:line="240" w:lineRule="auto"/>
            </w:pPr>
            <w:r>
              <w:rPr>
                <w:b/>
                <w:color w:val="FFFFFF"/>
                <w:sz w:val="20"/>
              </w:rPr>
              <w:t>Resources</w:t>
            </w:r>
          </w:p>
        </w:tc>
      </w:tr>
      <w:tr w:rsidR="00BF7BC5" w14:paraId="2C1276EA" w14:textId="77777777">
        <w:trPr>
          <w:cantSplit/>
          <w:jc w:val="center"/>
        </w:trPr>
        <w:tc>
          <w:tcPr>
            <w:tcW w:w="1901"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0D030801" w14:textId="77777777" w:rsidR="00BF7BC5" w:rsidRDefault="00062CDB">
            <w:pPr>
              <w:spacing w:after="80" w:line="240" w:lineRule="auto"/>
            </w:pPr>
            <w:r>
              <w:rPr>
                <w:sz w:val="20"/>
              </w:rPr>
              <w:t>Leadership and pupil engagement</w:t>
            </w:r>
          </w:p>
        </w:tc>
        <w:tc>
          <w:tcPr>
            <w:tcW w:w="7272"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4856D6E5" w14:textId="77777777" w:rsidR="00BF7BC5" w:rsidRDefault="00062CDB">
            <w:pPr>
              <w:spacing w:after="80" w:line="240" w:lineRule="auto"/>
            </w:pPr>
            <w:r>
              <w:rPr>
                <w:sz w:val="20"/>
              </w:rPr>
              <w:t>Confirm the named Sustainability Lead and review the status of actions from 2025–2026. Agree priorities with the Headteacher and Site Manager.</w:t>
            </w:r>
            <w:r>
              <w:rPr>
                <w:sz w:val="20"/>
              </w:rPr>
              <w:br/>
              <w:t xml:space="preserve">Success: A named lead and a reviewed plan with clear </w:t>
            </w:r>
            <w:r>
              <w:rPr>
                <w:sz w:val="20"/>
              </w:rPr>
              <w:t>responsibilities and carried-forward actions.</w:t>
            </w: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467EE270" w14:textId="77777777" w:rsidR="00BF7BC5" w:rsidRDefault="00062CDB">
            <w:pPr>
              <w:spacing w:after="80" w:line="240" w:lineRule="auto"/>
            </w:pPr>
            <w:r>
              <w:rPr>
                <w:sz w:val="20"/>
              </w:rPr>
              <w:t>Autumn 2026</w:t>
            </w:r>
          </w:p>
        </w:tc>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0CC1B4F6" w14:textId="77777777" w:rsidR="00BF7BC5" w:rsidRDefault="00062CDB">
            <w:pPr>
              <w:spacing w:after="80" w:line="240" w:lineRule="auto"/>
            </w:pPr>
            <w:r>
              <w:rPr>
                <w:sz w:val="20"/>
              </w:rPr>
              <w:t>Headteacher and Sustainability Lead</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7E4805C6" w14:textId="77777777" w:rsidR="00BF7BC5" w:rsidRDefault="00062CDB">
            <w:pPr>
              <w:spacing w:after="80" w:line="240" w:lineRule="auto"/>
            </w:pPr>
            <w:r>
              <w:rPr>
                <w:sz w:val="20"/>
              </w:rPr>
              <w:t>Staff time; relevant CPD.</w:t>
            </w:r>
          </w:p>
        </w:tc>
      </w:tr>
      <w:tr w:rsidR="00BF7BC5" w14:paraId="323C93BF" w14:textId="77777777">
        <w:trPr>
          <w:cantSplit/>
          <w:jc w:val="center"/>
        </w:trPr>
        <w:tc>
          <w:tcPr>
            <w:tcW w:w="1901" w:type="dxa"/>
            <w:tcBorders>
              <w:top w:val="single" w:sz="4" w:space="0" w:color="D9D9D9"/>
              <w:left w:val="single" w:sz="4" w:space="0" w:color="D9D9D9"/>
              <w:bottom w:val="single" w:sz="4" w:space="0" w:color="D9D9D9"/>
              <w:right w:val="single" w:sz="4" w:space="0" w:color="D9D9D9"/>
            </w:tcBorders>
            <w:shd w:val="clear" w:color="auto" w:fill="F2F5F8"/>
            <w:tcMar>
              <w:top w:w="95" w:type="dxa"/>
              <w:left w:w="95" w:type="dxa"/>
              <w:bottom w:w="95" w:type="dxa"/>
              <w:right w:w="95" w:type="dxa"/>
            </w:tcMar>
            <w:vAlign w:val="center"/>
          </w:tcPr>
          <w:p w14:paraId="5B68BDC2" w14:textId="77777777" w:rsidR="00BF7BC5" w:rsidRDefault="00062CDB">
            <w:pPr>
              <w:spacing w:after="80" w:line="240" w:lineRule="auto"/>
            </w:pPr>
            <w:r>
              <w:rPr>
                <w:sz w:val="20"/>
              </w:rPr>
              <w:t>Leadership and pupil engagement</w:t>
            </w:r>
          </w:p>
        </w:tc>
        <w:tc>
          <w:tcPr>
            <w:tcW w:w="7272" w:type="dxa"/>
            <w:tcBorders>
              <w:top w:val="single" w:sz="4" w:space="0" w:color="D9D9D9"/>
              <w:left w:val="single" w:sz="4" w:space="0" w:color="D9D9D9"/>
              <w:bottom w:val="single" w:sz="4" w:space="0" w:color="D9D9D9"/>
              <w:right w:val="single" w:sz="4" w:space="0" w:color="D9D9D9"/>
            </w:tcBorders>
            <w:shd w:val="clear" w:color="auto" w:fill="F2F5F8"/>
            <w:tcMar>
              <w:top w:w="95" w:type="dxa"/>
              <w:left w:w="95" w:type="dxa"/>
              <w:bottom w:w="95" w:type="dxa"/>
              <w:right w:w="95" w:type="dxa"/>
            </w:tcMar>
            <w:vAlign w:val="center"/>
          </w:tcPr>
          <w:p w14:paraId="5C4491A5" w14:textId="77777777" w:rsidR="00BF7BC5" w:rsidRDefault="00062CDB">
            <w:pPr>
              <w:spacing w:after="80" w:line="240" w:lineRule="auto"/>
            </w:pPr>
            <w:r>
              <w:rPr>
                <w:sz w:val="20"/>
              </w:rPr>
              <w:t xml:space="preserve">Review or establish the Green Team, with pupils involved in selecting practical actions on </w:t>
            </w:r>
            <w:r>
              <w:rPr>
                <w:sz w:val="20"/>
              </w:rPr>
              <w:t>litter, recycling and reducing waste. Meet at least termly.</w:t>
            </w:r>
            <w:r>
              <w:rPr>
                <w:sz w:val="20"/>
              </w:rPr>
              <w:br/>
              <w:t>Success: The Green Team meets each term and leads at least one practical activity each term.</w:t>
            </w:r>
          </w:p>
        </w:tc>
        <w:tc>
          <w:tcPr>
            <w:tcW w:w="1440" w:type="dxa"/>
            <w:tcBorders>
              <w:top w:val="single" w:sz="4" w:space="0" w:color="D9D9D9"/>
              <w:left w:val="single" w:sz="4" w:space="0" w:color="D9D9D9"/>
              <w:bottom w:val="single" w:sz="4" w:space="0" w:color="D9D9D9"/>
              <w:right w:val="single" w:sz="4" w:space="0" w:color="D9D9D9"/>
            </w:tcBorders>
            <w:shd w:val="clear" w:color="auto" w:fill="F2F5F8"/>
            <w:tcMar>
              <w:top w:w="95" w:type="dxa"/>
              <w:left w:w="95" w:type="dxa"/>
              <w:bottom w:w="95" w:type="dxa"/>
              <w:right w:w="95" w:type="dxa"/>
            </w:tcMar>
            <w:vAlign w:val="center"/>
          </w:tcPr>
          <w:p w14:paraId="4D943C6F" w14:textId="77777777" w:rsidR="00BF7BC5" w:rsidRDefault="00062CDB">
            <w:pPr>
              <w:spacing w:after="80" w:line="240" w:lineRule="auto"/>
            </w:pPr>
            <w:r>
              <w:rPr>
                <w:sz w:val="20"/>
              </w:rPr>
              <w:t>Autumn 2026 and termly</w:t>
            </w:r>
          </w:p>
        </w:tc>
        <w:tc>
          <w:tcPr>
            <w:tcW w:w="1944" w:type="dxa"/>
            <w:tcBorders>
              <w:top w:val="single" w:sz="4" w:space="0" w:color="D9D9D9"/>
              <w:left w:val="single" w:sz="4" w:space="0" w:color="D9D9D9"/>
              <w:bottom w:val="single" w:sz="4" w:space="0" w:color="D9D9D9"/>
              <w:right w:val="single" w:sz="4" w:space="0" w:color="D9D9D9"/>
            </w:tcBorders>
            <w:shd w:val="clear" w:color="auto" w:fill="F2F5F8"/>
            <w:tcMar>
              <w:top w:w="95" w:type="dxa"/>
              <w:left w:w="95" w:type="dxa"/>
              <w:bottom w:w="95" w:type="dxa"/>
              <w:right w:w="95" w:type="dxa"/>
            </w:tcMar>
            <w:vAlign w:val="center"/>
          </w:tcPr>
          <w:p w14:paraId="4ADF51D4" w14:textId="77777777" w:rsidR="00BF7BC5" w:rsidRDefault="00062CDB">
            <w:pPr>
              <w:spacing w:after="80" w:line="240" w:lineRule="auto"/>
            </w:pPr>
            <w:r>
              <w:rPr>
                <w:sz w:val="20"/>
              </w:rPr>
              <w:t>Sustainability Lead</w:t>
            </w:r>
          </w:p>
        </w:tc>
        <w:tc>
          <w:tcPr>
            <w:tcW w:w="2376" w:type="dxa"/>
            <w:tcBorders>
              <w:top w:val="single" w:sz="4" w:space="0" w:color="D9D9D9"/>
              <w:left w:val="single" w:sz="4" w:space="0" w:color="D9D9D9"/>
              <w:bottom w:val="single" w:sz="4" w:space="0" w:color="D9D9D9"/>
              <w:right w:val="single" w:sz="4" w:space="0" w:color="D9D9D9"/>
            </w:tcBorders>
            <w:shd w:val="clear" w:color="auto" w:fill="F2F5F8"/>
            <w:tcMar>
              <w:top w:w="95" w:type="dxa"/>
              <w:left w:w="95" w:type="dxa"/>
              <w:bottom w:w="95" w:type="dxa"/>
              <w:right w:w="95" w:type="dxa"/>
            </w:tcMar>
            <w:vAlign w:val="center"/>
          </w:tcPr>
          <w:p w14:paraId="7453143E" w14:textId="77777777" w:rsidR="00BF7BC5" w:rsidRDefault="00062CDB">
            <w:pPr>
              <w:spacing w:after="80" w:line="240" w:lineRule="auto"/>
            </w:pPr>
            <w:r>
              <w:rPr>
                <w:sz w:val="20"/>
              </w:rPr>
              <w:t>Meeting time; existing resources.</w:t>
            </w:r>
          </w:p>
        </w:tc>
      </w:tr>
      <w:tr w:rsidR="00BF7BC5" w14:paraId="5BD75276" w14:textId="77777777">
        <w:trPr>
          <w:cantSplit/>
          <w:jc w:val="center"/>
        </w:trPr>
        <w:tc>
          <w:tcPr>
            <w:tcW w:w="1901"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58FCDEBA" w14:textId="77777777" w:rsidR="00BF7BC5" w:rsidRDefault="00062CDB">
            <w:pPr>
              <w:spacing w:after="80" w:line="240" w:lineRule="auto"/>
            </w:pPr>
            <w:r>
              <w:rPr>
                <w:sz w:val="20"/>
              </w:rPr>
              <w:t>Decarbonisation</w:t>
            </w:r>
          </w:p>
        </w:tc>
        <w:tc>
          <w:tcPr>
            <w:tcW w:w="7272"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77F96553" w14:textId="77777777" w:rsidR="00BF7BC5" w:rsidRDefault="00062CDB">
            <w:pPr>
              <w:spacing w:after="80" w:line="240" w:lineRule="auto"/>
            </w:pPr>
            <w:r>
              <w:rPr>
                <w:sz w:val="20"/>
              </w:rPr>
              <w:t>Review any previous energy audit and complete outstanding checks. Use available 2025–2026 energy data as a baseline. Check LED progress, heating controls and switch-off routines. Review solar generation where data are available.</w:t>
            </w:r>
            <w:r>
              <w:rPr>
                <w:sz w:val="20"/>
              </w:rPr>
              <w:br/>
              <w:t xml:space="preserve">Success: A </w:t>
            </w:r>
            <w:r>
              <w:rPr>
                <w:sz w:val="20"/>
              </w:rPr>
              <w:t>baseline is recorded and at least two practical energy-saving actions are implemented. Termly comparisons consider weather and site use.</w:t>
            </w: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35B1269A" w14:textId="77777777" w:rsidR="00BF7BC5" w:rsidRDefault="00062CDB">
            <w:pPr>
              <w:spacing w:after="80" w:line="240" w:lineRule="auto"/>
            </w:pPr>
            <w:r>
              <w:rPr>
                <w:sz w:val="20"/>
              </w:rPr>
              <w:t>Autumn baseline; termly review</w:t>
            </w:r>
          </w:p>
        </w:tc>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6822A8C0" w14:textId="77777777" w:rsidR="00BF7BC5" w:rsidRDefault="00062CDB">
            <w:pPr>
              <w:spacing w:after="80" w:line="240" w:lineRule="auto"/>
            </w:pPr>
            <w:r>
              <w:rPr>
                <w:sz w:val="20"/>
              </w:rPr>
              <w:t>Sustainability Lead and Site Manager</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14B0C08B" w14:textId="77777777" w:rsidR="00BF7BC5" w:rsidRDefault="00062CDB">
            <w:pPr>
              <w:spacing w:after="80" w:line="240" w:lineRule="auto"/>
            </w:pPr>
            <w:r>
              <w:rPr>
                <w:sz w:val="20"/>
              </w:rPr>
              <w:t>Meter and billing data; staff time; costed improvem</w:t>
            </w:r>
            <w:r>
              <w:rPr>
                <w:sz w:val="20"/>
              </w:rPr>
              <w:t>ents subject to budget.</w:t>
            </w:r>
          </w:p>
        </w:tc>
      </w:tr>
      <w:tr w:rsidR="00BF7BC5" w14:paraId="3155C564" w14:textId="77777777">
        <w:trPr>
          <w:cantSplit/>
          <w:jc w:val="center"/>
        </w:trPr>
        <w:tc>
          <w:tcPr>
            <w:tcW w:w="1901" w:type="dxa"/>
            <w:tcBorders>
              <w:top w:val="single" w:sz="4" w:space="0" w:color="D9D9D9"/>
              <w:left w:val="single" w:sz="4" w:space="0" w:color="D9D9D9"/>
              <w:bottom w:val="single" w:sz="4" w:space="0" w:color="D9D9D9"/>
              <w:right w:val="single" w:sz="4" w:space="0" w:color="D9D9D9"/>
            </w:tcBorders>
            <w:shd w:val="clear" w:color="auto" w:fill="F2F5F8"/>
            <w:tcMar>
              <w:top w:w="95" w:type="dxa"/>
              <w:left w:w="95" w:type="dxa"/>
              <w:bottom w:w="95" w:type="dxa"/>
              <w:right w:w="95" w:type="dxa"/>
            </w:tcMar>
            <w:vAlign w:val="center"/>
          </w:tcPr>
          <w:p w14:paraId="6E835B05" w14:textId="77777777" w:rsidR="00BF7BC5" w:rsidRDefault="00062CDB">
            <w:pPr>
              <w:spacing w:after="80" w:line="240" w:lineRule="auto"/>
            </w:pPr>
            <w:r>
              <w:rPr>
                <w:sz w:val="20"/>
              </w:rPr>
              <w:t>Biodiversity</w:t>
            </w:r>
          </w:p>
        </w:tc>
        <w:tc>
          <w:tcPr>
            <w:tcW w:w="7272" w:type="dxa"/>
            <w:tcBorders>
              <w:top w:val="single" w:sz="4" w:space="0" w:color="D9D9D9"/>
              <w:left w:val="single" w:sz="4" w:space="0" w:color="D9D9D9"/>
              <w:bottom w:val="single" w:sz="4" w:space="0" w:color="D9D9D9"/>
              <w:right w:val="single" w:sz="4" w:space="0" w:color="D9D9D9"/>
            </w:tcBorders>
            <w:shd w:val="clear" w:color="auto" w:fill="F2F5F8"/>
            <w:tcMar>
              <w:top w:w="95" w:type="dxa"/>
              <w:left w:w="95" w:type="dxa"/>
              <w:bottom w:w="95" w:type="dxa"/>
              <w:right w:w="95" w:type="dxa"/>
            </w:tcMar>
            <w:vAlign w:val="center"/>
          </w:tcPr>
          <w:p w14:paraId="4047CD12" w14:textId="77777777" w:rsidR="00BF7BC5" w:rsidRDefault="00062CDB">
            <w:pPr>
              <w:spacing w:after="80" w:line="240" w:lineRule="auto"/>
            </w:pPr>
            <w:r>
              <w:rPr>
                <w:sz w:val="20"/>
              </w:rPr>
              <w:t>Review outdoor learning areas and identify a manageable habitat improvement, such as wildlife-friendly planting or a log pile. Involve pupils in maintaining and observing it.</w:t>
            </w:r>
            <w:r>
              <w:rPr>
                <w:sz w:val="20"/>
              </w:rPr>
              <w:br/>
              <w:t xml:space="preserve">Success: At least one habitat </w:t>
            </w:r>
            <w:r>
              <w:rPr>
                <w:sz w:val="20"/>
              </w:rPr>
              <w:t>improvement is completed and pupils record observations before and after the change.</w:t>
            </w:r>
          </w:p>
        </w:tc>
        <w:tc>
          <w:tcPr>
            <w:tcW w:w="1440" w:type="dxa"/>
            <w:tcBorders>
              <w:top w:val="single" w:sz="4" w:space="0" w:color="D9D9D9"/>
              <w:left w:val="single" w:sz="4" w:space="0" w:color="D9D9D9"/>
              <w:bottom w:val="single" w:sz="4" w:space="0" w:color="D9D9D9"/>
              <w:right w:val="single" w:sz="4" w:space="0" w:color="D9D9D9"/>
            </w:tcBorders>
            <w:shd w:val="clear" w:color="auto" w:fill="F2F5F8"/>
            <w:tcMar>
              <w:top w:w="95" w:type="dxa"/>
              <w:left w:w="95" w:type="dxa"/>
              <w:bottom w:w="95" w:type="dxa"/>
              <w:right w:w="95" w:type="dxa"/>
            </w:tcMar>
            <w:vAlign w:val="center"/>
          </w:tcPr>
          <w:p w14:paraId="1D9307EE" w14:textId="77777777" w:rsidR="00BF7BC5" w:rsidRDefault="00062CDB">
            <w:pPr>
              <w:spacing w:after="80" w:line="240" w:lineRule="auto"/>
            </w:pPr>
            <w:r>
              <w:rPr>
                <w:sz w:val="20"/>
              </w:rPr>
              <w:t>Plan by spring 2027; review summer 2027</w:t>
            </w:r>
          </w:p>
        </w:tc>
        <w:tc>
          <w:tcPr>
            <w:tcW w:w="1944" w:type="dxa"/>
            <w:tcBorders>
              <w:top w:val="single" w:sz="4" w:space="0" w:color="D9D9D9"/>
              <w:left w:val="single" w:sz="4" w:space="0" w:color="D9D9D9"/>
              <w:bottom w:val="single" w:sz="4" w:space="0" w:color="D9D9D9"/>
              <w:right w:val="single" w:sz="4" w:space="0" w:color="D9D9D9"/>
            </w:tcBorders>
            <w:shd w:val="clear" w:color="auto" w:fill="F2F5F8"/>
            <w:tcMar>
              <w:top w:w="95" w:type="dxa"/>
              <w:left w:w="95" w:type="dxa"/>
              <w:bottom w:w="95" w:type="dxa"/>
              <w:right w:w="95" w:type="dxa"/>
            </w:tcMar>
            <w:vAlign w:val="center"/>
          </w:tcPr>
          <w:p w14:paraId="2CA3E784" w14:textId="77777777" w:rsidR="00BF7BC5" w:rsidRDefault="00062CDB">
            <w:pPr>
              <w:spacing w:after="80" w:line="240" w:lineRule="auto"/>
            </w:pPr>
            <w:r>
              <w:rPr>
                <w:sz w:val="20"/>
              </w:rPr>
              <w:t>Sustainability Lead and Green Team</w:t>
            </w:r>
          </w:p>
        </w:tc>
        <w:tc>
          <w:tcPr>
            <w:tcW w:w="2376" w:type="dxa"/>
            <w:tcBorders>
              <w:top w:val="single" w:sz="4" w:space="0" w:color="D9D9D9"/>
              <w:left w:val="single" w:sz="4" w:space="0" w:color="D9D9D9"/>
              <w:bottom w:val="single" w:sz="4" w:space="0" w:color="D9D9D9"/>
              <w:right w:val="single" w:sz="4" w:space="0" w:color="D9D9D9"/>
            </w:tcBorders>
            <w:shd w:val="clear" w:color="auto" w:fill="F2F5F8"/>
            <w:tcMar>
              <w:top w:w="95" w:type="dxa"/>
              <w:left w:w="95" w:type="dxa"/>
              <w:bottom w:w="95" w:type="dxa"/>
              <w:right w:w="95" w:type="dxa"/>
            </w:tcMar>
            <w:vAlign w:val="center"/>
          </w:tcPr>
          <w:p w14:paraId="26F57352" w14:textId="77777777" w:rsidR="00BF7BC5" w:rsidRDefault="00062CDB">
            <w:pPr>
              <w:spacing w:after="80" w:line="240" w:lineRule="auto"/>
            </w:pPr>
            <w:r>
              <w:rPr>
                <w:sz w:val="20"/>
              </w:rPr>
              <w:t>Existing outdoor resources; planting costs subject to budget.</w:t>
            </w:r>
          </w:p>
        </w:tc>
      </w:tr>
    </w:tbl>
    <w:p w14:paraId="4282546F" w14:textId="77777777" w:rsidR="00BF7BC5" w:rsidRDefault="00062CDB">
      <w:r>
        <w:br w:type="page"/>
      </w:r>
    </w:p>
    <w:p w14:paraId="1CEE0EA0" w14:textId="77777777" w:rsidR="00BF7BC5" w:rsidRDefault="00062CDB">
      <w:pPr>
        <w:pStyle w:val="Heading11"/>
      </w:pPr>
      <w:r>
        <w:lastRenderedPageBreak/>
        <w:t xml:space="preserve">Strategic Action Plan </w:t>
      </w:r>
      <w:r>
        <w:t>Continued</w:t>
      </w:r>
    </w:p>
    <w:tbl>
      <w:tblPr>
        <w:tblW w:w="0" w:type="auto"/>
        <w:jc w:val="center"/>
        <w:tblLayout w:type="fixed"/>
        <w:tblLook w:val="04A0" w:firstRow="1" w:lastRow="0" w:firstColumn="1" w:lastColumn="0" w:noHBand="0" w:noVBand="1"/>
      </w:tblPr>
      <w:tblGrid>
        <w:gridCol w:w="1901"/>
        <w:gridCol w:w="7272"/>
        <w:gridCol w:w="1440"/>
        <w:gridCol w:w="1944"/>
        <w:gridCol w:w="2376"/>
      </w:tblGrid>
      <w:tr w:rsidR="00BF7BC5" w14:paraId="3E486A4E" w14:textId="77777777">
        <w:trPr>
          <w:cantSplit/>
          <w:tblHeader/>
          <w:jc w:val="center"/>
        </w:trPr>
        <w:tc>
          <w:tcPr>
            <w:tcW w:w="1901" w:type="dxa"/>
            <w:tcBorders>
              <w:top w:val="single" w:sz="4" w:space="0" w:color="D9D9D9"/>
              <w:left w:val="single" w:sz="4" w:space="0" w:color="D9D9D9"/>
              <w:bottom w:val="single" w:sz="4" w:space="0" w:color="D9D9D9"/>
              <w:right w:val="single" w:sz="4" w:space="0" w:color="D9D9D9"/>
            </w:tcBorders>
            <w:shd w:val="clear" w:color="auto" w:fill="17365D"/>
            <w:tcMar>
              <w:top w:w="95" w:type="dxa"/>
              <w:left w:w="95" w:type="dxa"/>
              <w:bottom w:w="95" w:type="dxa"/>
              <w:right w:w="95" w:type="dxa"/>
            </w:tcMar>
            <w:vAlign w:val="center"/>
          </w:tcPr>
          <w:p w14:paraId="73B3E3F8" w14:textId="77777777" w:rsidR="00BF7BC5" w:rsidRDefault="00062CDB">
            <w:pPr>
              <w:spacing w:after="80" w:line="240" w:lineRule="auto"/>
            </w:pPr>
            <w:r>
              <w:rPr>
                <w:b/>
                <w:color w:val="FFFFFF"/>
                <w:sz w:val="20"/>
              </w:rPr>
              <w:t>Strategic area</w:t>
            </w:r>
          </w:p>
        </w:tc>
        <w:tc>
          <w:tcPr>
            <w:tcW w:w="7272" w:type="dxa"/>
            <w:tcBorders>
              <w:top w:val="single" w:sz="4" w:space="0" w:color="D9D9D9"/>
              <w:left w:val="single" w:sz="4" w:space="0" w:color="D9D9D9"/>
              <w:bottom w:val="single" w:sz="4" w:space="0" w:color="D9D9D9"/>
              <w:right w:val="single" w:sz="4" w:space="0" w:color="D9D9D9"/>
            </w:tcBorders>
            <w:shd w:val="clear" w:color="auto" w:fill="17365D"/>
            <w:tcMar>
              <w:top w:w="95" w:type="dxa"/>
              <w:left w:w="95" w:type="dxa"/>
              <w:bottom w:w="95" w:type="dxa"/>
              <w:right w:w="95" w:type="dxa"/>
            </w:tcMar>
            <w:vAlign w:val="center"/>
          </w:tcPr>
          <w:p w14:paraId="573D84BF" w14:textId="77777777" w:rsidR="00BF7BC5" w:rsidRDefault="00062CDB">
            <w:pPr>
              <w:spacing w:after="80" w:line="240" w:lineRule="auto"/>
            </w:pPr>
            <w:r>
              <w:rPr>
                <w:b/>
                <w:color w:val="FFFFFF"/>
                <w:sz w:val="20"/>
              </w:rPr>
              <w:t>Actions and success measures</w:t>
            </w:r>
          </w:p>
        </w:tc>
        <w:tc>
          <w:tcPr>
            <w:tcW w:w="1440" w:type="dxa"/>
            <w:tcBorders>
              <w:top w:val="single" w:sz="4" w:space="0" w:color="D9D9D9"/>
              <w:left w:val="single" w:sz="4" w:space="0" w:color="D9D9D9"/>
              <w:bottom w:val="single" w:sz="4" w:space="0" w:color="D9D9D9"/>
              <w:right w:val="single" w:sz="4" w:space="0" w:color="D9D9D9"/>
            </w:tcBorders>
            <w:shd w:val="clear" w:color="auto" w:fill="17365D"/>
            <w:tcMar>
              <w:top w:w="95" w:type="dxa"/>
              <w:left w:w="95" w:type="dxa"/>
              <w:bottom w:w="95" w:type="dxa"/>
              <w:right w:w="95" w:type="dxa"/>
            </w:tcMar>
            <w:vAlign w:val="center"/>
          </w:tcPr>
          <w:p w14:paraId="6E1A83B4" w14:textId="77777777" w:rsidR="00BF7BC5" w:rsidRDefault="00062CDB">
            <w:pPr>
              <w:spacing w:after="80" w:line="240" w:lineRule="auto"/>
            </w:pPr>
            <w:r>
              <w:rPr>
                <w:b/>
                <w:color w:val="FFFFFF"/>
                <w:sz w:val="20"/>
              </w:rPr>
              <w:t>Timeline</w:t>
            </w:r>
          </w:p>
        </w:tc>
        <w:tc>
          <w:tcPr>
            <w:tcW w:w="1944" w:type="dxa"/>
            <w:tcBorders>
              <w:top w:val="single" w:sz="4" w:space="0" w:color="D9D9D9"/>
              <w:left w:val="single" w:sz="4" w:space="0" w:color="D9D9D9"/>
              <w:bottom w:val="single" w:sz="4" w:space="0" w:color="D9D9D9"/>
              <w:right w:val="single" w:sz="4" w:space="0" w:color="D9D9D9"/>
            </w:tcBorders>
            <w:shd w:val="clear" w:color="auto" w:fill="17365D"/>
            <w:tcMar>
              <w:top w:w="95" w:type="dxa"/>
              <w:left w:w="95" w:type="dxa"/>
              <w:bottom w:w="95" w:type="dxa"/>
              <w:right w:w="95" w:type="dxa"/>
            </w:tcMar>
            <w:vAlign w:val="center"/>
          </w:tcPr>
          <w:p w14:paraId="0A3B74F3" w14:textId="77777777" w:rsidR="00BF7BC5" w:rsidRDefault="00062CDB">
            <w:pPr>
              <w:spacing w:after="80" w:line="240" w:lineRule="auto"/>
            </w:pPr>
            <w:r>
              <w:rPr>
                <w:b/>
                <w:color w:val="FFFFFF"/>
                <w:sz w:val="20"/>
              </w:rPr>
              <w:t>Lead</w:t>
            </w:r>
          </w:p>
        </w:tc>
        <w:tc>
          <w:tcPr>
            <w:tcW w:w="2376" w:type="dxa"/>
            <w:tcBorders>
              <w:top w:val="single" w:sz="4" w:space="0" w:color="D9D9D9"/>
              <w:left w:val="single" w:sz="4" w:space="0" w:color="D9D9D9"/>
              <w:bottom w:val="single" w:sz="4" w:space="0" w:color="D9D9D9"/>
              <w:right w:val="single" w:sz="4" w:space="0" w:color="D9D9D9"/>
            </w:tcBorders>
            <w:shd w:val="clear" w:color="auto" w:fill="17365D"/>
            <w:tcMar>
              <w:top w:w="95" w:type="dxa"/>
              <w:left w:w="95" w:type="dxa"/>
              <w:bottom w:w="95" w:type="dxa"/>
              <w:right w:w="95" w:type="dxa"/>
            </w:tcMar>
            <w:vAlign w:val="center"/>
          </w:tcPr>
          <w:p w14:paraId="260238C3" w14:textId="77777777" w:rsidR="00BF7BC5" w:rsidRDefault="00062CDB">
            <w:pPr>
              <w:spacing w:after="80" w:line="240" w:lineRule="auto"/>
            </w:pPr>
            <w:r>
              <w:rPr>
                <w:b/>
                <w:color w:val="FFFFFF"/>
                <w:sz w:val="20"/>
              </w:rPr>
              <w:t>Resources</w:t>
            </w:r>
          </w:p>
        </w:tc>
      </w:tr>
      <w:tr w:rsidR="00BF7BC5" w14:paraId="4491128A" w14:textId="77777777">
        <w:trPr>
          <w:cantSplit/>
          <w:jc w:val="center"/>
        </w:trPr>
        <w:tc>
          <w:tcPr>
            <w:tcW w:w="1901"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7B230787" w14:textId="77777777" w:rsidR="00BF7BC5" w:rsidRDefault="00062CDB">
            <w:pPr>
              <w:spacing w:after="80" w:line="240" w:lineRule="auto"/>
            </w:pPr>
            <w:r>
              <w:rPr>
                <w:sz w:val="20"/>
              </w:rPr>
              <w:t>Adaptation and resilience</w:t>
            </w:r>
          </w:p>
        </w:tc>
        <w:tc>
          <w:tcPr>
            <w:tcW w:w="7272"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09E4B40B" w14:textId="77777777" w:rsidR="00BF7BC5" w:rsidRDefault="00062CDB">
            <w:pPr>
              <w:spacing w:after="80" w:line="240" w:lineRule="auto"/>
            </w:pPr>
            <w:r>
              <w:rPr>
                <w:sz w:val="20"/>
              </w:rPr>
              <w:t xml:space="preserve">Review the Extreme Weather Policy and site arrangements for heat, heavy rainfall and storms. Check shade, drinking water, drainage and safe use of </w:t>
            </w:r>
            <w:r>
              <w:rPr>
                <w:sz w:val="20"/>
              </w:rPr>
              <w:t>outdoor areas. Identify and prioritise any further adaptations.</w:t>
            </w:r>
            <w:r>
              <w:rPr>
                <w:sz w:val="20"/>
              </w:rPr>
              <w:br/>
              <w:t>Success: Arrangements are reviewed, staff understand the response and necessary actions have named owners and timescales.</w:t>
            </w: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25DBAFFD" w14:textId="77777777" w:rsidR="00BF7BC5" w:rsidRDefault="00062CDB">
            <w:pPr>
              <w:spacing w:after="80" w:line="240" w:lineRule="auto"/>
            </w:pPr>
            <w:r>
              <w:rPr>
                <w:sz w:val="20"/>
              </w:rPr>
              <w:t>Autumn 2026; check before summer 2027</w:t>
            </w:r>
          </w:p>
        </w:tc>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77FB33E8" w14:textId="77777777" w:rsidR="00BF7BC5" w:rsidRDefault="00062CDB">
            <w:pPr>
              <w:spacing w:after="80" w:line="240" w:lineRule="auto"/>
            </w:pPr>
            <w:r>
              <w:rPr>
                <w:sz w:val="20"/>
              </w:rPr>
              <w:t>Headteacher, Site Manager and Su</w:t>
            </w:r>
            <w:r>
              <w:rPr>
                <w:sz w:val="20"/>
              </w:rPr>
              <w:t>stainability Lead</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7B03318E" w14:textId="77777777" w:rsidR="00BF7BC5" w:rsidRDefault="00062CDB">
            <w:pPr>
              <w:spacing w:after="80" w:line="240" w:lineRule="auto"/>
            </w:pPr>
            <w:r>
              <w:rPr>
                <w:sz w:val="20"/>
              </w:rPr>
              <w:t>Staff time; maintenance budget; further works subject to approval.</w:t>
            </w:r>
          </w:p>
        </w:tc>
      </w:tr>
      <w:tr w:rsidR="00BF7BC5" w14:paraId="5FCBEE3E" w14:textId="77777777">
        <w:trPr>
          <w:cantSplit/>
          <w:jc w:val="center"/>
        </w:trPr>
        <w:tc>
          <w:tcPr>
            <w:tcW w:w="1901" w:type="dxa"/>
            <w:tcBorders>
              <w:top w:val="single" w:sz="4" w:space="0" w:color="D9D9D9"/>
              <w:left w:val="single" w:sz="4" w:space="0" w:color="D9D9D9"/>
              <w:bottom w:val="single" w:sz="4" w:space="0" w:color="D9D9D9"/>
              <w:right w:val="single" w:sz="4" w:space="0" w:color="D9D9D9"/>
            </w:tcBorders>
            <w:shd w:val="clear" w:color="auto" w:fill="F2F5F8"/>
            <w:tcMar>
              <w:top w:w="95" w:type="dxa"/>
              <w:left w:w="95" w:type="dxa"/>
              <w:bottom w:w="95" w:type="dxa"/>
              <w:right w:w="95" w:type="dxa"/>
            </w:tcMar>
            <w:vAlign w:val="center"/>
          </w:tcPr>
          <w:p w14:paraId="0C811F03" w14:textId="77777777" w:rsidR="00BF7BC5" w:rsidRDefault="00062CDB">
            <w:pPr>
              <w:spacing w:after="80" w:line="240" w:lineRule="auto"/>
            </w:pPr>
            <w:r>
              <w:rPr>
                <w:sz w:val="20"/>
              </w:rPr>
              <w:t>Climate education and green skills</w:t>
            </w:r>
          </w:p>
        </w:tc>
        <w:tc>
          <w:tcPr>
            <w:tcW w:w="7272" w:type="dxa"/>
            <w:tcBorders>
              <w:top w:val="single" w:sz="4" w:space="0" w:color="D9D9D9"/>
              <w:left w:val="single" w:sz="4" w:space="0" w:color="D9D9D9"/>
              <w:bottom w:val="single" w:sz="4" w:space="0" w:color="D9D9D9"/>
              <w:right w:val="single" w:sz="4" w:space="0" w:color="D9D9D9"/>
            </w:tcBorders>
            <w:shd w:val="clear" w:color="auto" w:fill="F2F5F8"/>
            <w:tcMar>
              <w:top w:w="95" w:type="dxa"/>
              <w:left w:w="95" w:type="dxa"/>
              <w:bottom w:w="95" w:type="dxa"/>
              <w:right w:w="95" w:type="dxa"/>
            </w:tcMar>
            <w:vAlign w:val="center"/>
          </w:tcPr>
          <w:p w14:paraId="508F78A0" w14:textId="77777777" w:rsidR="00BF7BC5" w:rsidRDefault="00062CDB">
            <w:pPr>
              <w:spacing w:after="80" w:line="240" w:lineRule="auto"/>
            </w:pPr>
            <w:r>
              <w:rPr>
                <w:sz w:val="20"/>
              </w:rPr>
              <w:t xml:space="preserve">Review where sustainability and climate change are taught within the existing curriculum. Strengthen age-appropriate links in </w:t>
            </w:r>
            <w:r>
              <w:rPr>
                <w:sz w:val="20"/>
              </w:rPr>
              <w:t>science, geography and outdoor learning. Include examples of work that protects the environment.</w:t>
            </w:r>
            <w:r>
              <w:rPr>
                <w:sz w:val="20"/>
              </w:rPr>
              <w:br/>
              <w:t>Success: Curriculum links are identified and pupil discussions show understanding of age-appropriate environmental issues and practical actions.</w:t>
            </w:r>
          </w:p>
        </w:tc>
        <w:tc>
          <w:tcPr>
            <w:tcW w:w="1440" w:type="dxa"/>
            <w:tcBorders>
              <w:top w:val="single" w:sz="4" w:space="0" w:color="D9D9D9"/>
              <w:left w:val="single" w:sz="4" w:space="0" w:color="D9D9D9"/>
              <w:bottom w:val="single" w:sz="4" w:space="0" w:color="D9D9D9"/>
              <w:right w:val="single" w:sz="4" w:space="0" w:color="D9D9D9"/>
            </w:tcBorders>
            <w:shd w:val="clear" w:color="auto" w:fill="F2F5F8"/>
            <w:tcMar>
              <w:top w:w="95" w:type="dxa"/>
              <w:left w:w="95" w:type="dxa"/>
              <w:bottom w:w="95" w:type="dxa"/>
              <w:right w:w="95" w:type="dxa"/>
            </w:tcMar>
            <w:vAlign w:val="center"/>
          </w:tcPr>
          <w:p w14:paraId="2B13775B" w14:textId="77777777" w:rsidR="00BF7BC5" w:rsidRDefault="00062CDB">
            <w:pPr>
              <w:spacing w:after="80" w:line="240" w:lineRule="auto"/>
            </w:pPr>
            <w:r>
              <w:rPr>
                <w:sz w:val="20"/>
              </w:rPr>
              <w:t xml:space="preserve">Review spring </w:t>
            </w:r>
            <w:r>
              <w:rPr>
                <w:sz w:val="20"/>
              </w:rPr>
              <w:t>2027; implement through summer 2027</w:t>
            </w:r>
          </w:p>
        </w:tc>
        <w:tc>
          <w:tcPr>
            <w:tcW w:w="1944" w:type="dxa"/>
            <w:tcBorders>
              <w:top w:val="single" w:sz="4" w:space="0" w:color="D9D9D9"/>
              <w:left w:val="single" w:sz="4" w:space="0" w:color="D9D9D9"/>
              <w:bottom w:val="single" w:sz="4" w:space="0" w:color="D9D9D9"/>
              <w:right w:val="single" w:sz="4" w:space="0" w:color="D9D9D9"/>
            </w:tcBorders>
            <w:shd w:val="clear" w:color="auto" w:fill="F2F5F8"/>
            <w:tcMar>
              <w:top w:w="95" w:type="dxa"/>
              <w:left w:w="95" w:type="dxa"/>
              <w:bottom w:w="95" w:type="dxa"/>
              <w:right w:w="95" w:type="dxa"/>
            </w:tcMar>
            <w:vAlign w:val="center"/>
          </w:tcPr>
          <w:p w14:paraId="24D6A0BF" w14:textId="77777777" w:rsidR="00BF7BC5" w:rsidRDefault="00062CDB">
            <w:pPr>
              <w:spacing w:after="80" w:line="240" w:lineRule="auto"/>
            </w:pPr>
            <w:r>
              <w:rPr>
                <w:sz w:val="20"/>
              </w:rPr>
              <w:t>Sustainability Lead and subject leaders</w:t>
            </w:r>
          </w:p>
        </w:tc>
        <w:tc>
          <w:tcPr>
            <w:tcW w:w="2376" w:type="dxa"/>
            <w:tcBorders>
              <w:top w:val="single" w:sz="4" w:space="0" w:color="D9D9D9"/>
              <w:left w:val="single" w:sz="4" w:space="0" w:color="D9D9D9"/>
              <w:bottom w:val="single" w:sz="4" w:space="0" w:color="D9D9D9"/>
              <w:right w:val="single" w:sz="4" w:space="0" w:color="D9D9D9"/>
            </w:tcBorders>
            <w:shd w:val="clear" w:color="auto" w:fill="F2F5F8"/>
            <w:tcMar>
              <w:top w:w="95" w:type="dxa"/>
              <w:left w:w="95" w:type="dxa"/>
              <w:bottom w:w="95" w:type="dxa"/>
              <w:right w:w="95" w:type="dxa"/>
            </w:tcMar>
            <w:vAlign w:val="center"/>
          </w:tcPr>
          <w:p w14:paraId="58E18C30" w14:textId="77777777" w:rsidR="00BF7BC5" w:rsidRDefault="00062CDB">
            <w:pPr>
              <w:spacing w:after="80" w:line="240" w:lineRule="auto"/>
            </w:pPr>
            <w:r>
              <w:rPr>
                <w:sz w:val="20"/>
              </w:rPr>
              <w:t>Existing curriculum resources; staff discussion and relevant CPD.</w:t>
            </w:r>
          </w:p>
        </w:tc>
      </w:tr>
      <w:tr w:rsidR="00BF7BC5" w14:paraId="25131C9F" w14:textId="77777777">
        <w:trPr>
          <w:cantSplit/>
          <w:jc w:val="center"/>
        </w:trPr>
        <w:tc>
          <w:tcPr>
            <w:tcW w:w="1901"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2D7FB470" w14:textId="77777777" w:rsidR="00BF7BC5" w:rsidRDefault="00062CDB">
            <w:pPr>
              <w:spacing w:after="80" w:line="240" w:lineRule="auto"/>
            </w:pPr>
            <w:r>
              <w:rPr>
                <w:sz w:val="20"/>
              </w:rPr>
              <w:t>Active travel and community engagement</w:t>
            </w:r>
          </w:p>
        </w:tc>
        <w:tc>
          <w:tcPr>
            <w:tcW w:w="7272"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173A0674" w14:textId="77777777" w:rsidR="00BF7BC5" w:rsidRDefault="00062CDB">
            <w:pPr>
              <w:spacing w:after="80" w:line="240" w:lineRule="auto"/>
            </w:pPr>
            <w:r>
              <w:rPr>
                <w:sz w:val="20"/>
              </w:rPr>
              <w:t xml:space="preserve">Use a simple pupil travel survey to establish current patterns. </w:t>
            </w:r>
            <w:r>
              <w:rPr>
                <w:sz w:val="20"/>
              </w:rPr>
              <w:t>Promote walking, cycling and scooting where safe and accessible. Repeat the survey and share practical sustainability updates with families.</w:t>
            </w:r>
            <w:r>
              <w:rPr>
                <w:sz w:val="20"/>
              </w:rPr>
              <w:br/>
              <w:t>Success: Two surveys are compared and at least one active travel initiative is delivered, recognising families’ cir</w:t>
            </w:r>
            <w:r>
              <w:rPr>
                <w:sz w:val="20"/>
              </w:rPr>
              <w:t>cumstances and access needs.</w:t>
            </w: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28165AD9" w14:textId="77777777" w:rsidR="00BF7BC5" w:rsidRDefault="00062CDB">
            <w:pPr>
              <w:spacing w:after="80" w:line="240" w:lineRule="auto"/>
            </w:pPr>
            <w:r>
              <w:rPr>
                <w:sz w:val="20"/>
              </w:rPr>
              <w:t>Baseline autumn 2026; repeat summer 2027</w:t>
            </w:r>
          </w:p>
        </w:tc>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7CA7EDFA" w14:textId="77777777" w:rsidR="00BF7BC5" w:rsidRDefault="00062CDB">
            <w:pPr>
              <w:spacing w:after="80" w:line="240" w:lineRule="auto"/>
            </w:pPr>
            <w:r>
              <w:rPr>
                <w:sz w:val="20"/>
              </w:rPr>
              <w:t>Sustainability Lead and Green Team</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51618409" w14:textId="77777777" w:rsidR="00BF7BC5" w:rsidRDefault="00062CDB">
            <w:pPr>
              <w:spacing w:after="80" w:line="240" w:lineRule="auto"/>
            </w:pPr>
            <w:r>
              <w:rPr>
                <w:sz w:val="20"/>
              </w:rPr>
              <w:t>Survey and communication time; existing travel resources.</w:t>
            </w:r>
          </w:p>
        </w:tc>
      </w:tr>
    </w:tbl>
    <w:p w14:paraId="693DC0F2" w14:textId="77777777" w:rsidR="00BF7BC5" w:rsidRDefault="00062CDB">
      <w:pPr>
        <w:pStyle w:val="Heading11"/>
      </w:pPr>
      <w:r>
        <w:t>Monitoring and Evaluation</w:t>
      </w:r>
    </w:p>
    <w:p w14:paraId="0120052B" w14:textId="77777777" w:rsidR="00BF7BC5" w:rsidRDefault="00062CDB">
      <w:r>
        <w:t xml:space="preserve">The Sustainability Lead will review actions termly with the </w:t>
      </w:r>
      <w:r>
        <w:t>Headteacher and Site Manager, using energy records, Green Team feedback, photographs and pupil discussions. Progress will be recorded as not started, in progress or completed, with a brief note of impact and next steps. A summary will be shared with govern</w:t>
      </w:r>
      <w:r>
        <w:t>ors and the school community. The annual review in July 2027 will inform priorities for 2027–2028.</w:t>
      </w:r>
    </w:p>
    <w:p w14:paraId="447302C3" w14:textId="77777777" w:rsidR="00BF7BC5" w:rsidRDefault="00062CDB">
      <w:r>
        <w:t>Reference: Department for Education, Sustainability leadership and climate action plans in education. https://www.gov.uk/guidance/sustainability-leadership-a</w:t>
      </w:r>
      <w:r>
        <w:t>nd-climate-action-plans-in-education</w:t>
      </w:r>
    </w:p>
    <w:sectPr w:rsidR="00BF7BC5" w:rsidSect="00976CBF">
      <w:headerReference w:type="default" r:id="rId7"/>
      <w:footerReference w:type="default" r:id="rId8"/>
      <w:pgSz w:w="16838" w:h="11906" w:orient="landscape"/>
      <w:pgMar w:top="864" w:right="936" w:bottom="864" w:left="936" w:header="708" w:footer="708" w:gutter="0"/>
      <w:pgBorders w:offsetFrom="page">
        <w:top w:val="single" w:sz="24" w:space="24" w:color="FF0000"/>
        <w:left w:val="single" w:sz="24" w:space="24" w:color="FF0000"/>
        <w:bottom w:val="single" w:sz="24" w:space="24" w:color="FF0000"/>
        <w:right w:val="single" w:sz="24"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0405D" w14:textId="77777777" w:rsidR="006E0A63" w:rsidRDefault="006E0A63" w:rsidP="006E0A63">
      <w:pPr>
        <w:spacing w:after="0" w:line="240" w:lineRule="auto"/>
      </w:pPr>
      <w:r>
        <w:separator/>
      </w:r>
    </w:p>
  </w:endnote>
  <w:endnote w:type="continuationSeparator" w:id="0">
    <w:p w14:paraId="51473925" w14:textId="77777777" w:rsidR="006E0A63" w:rsidRDefault="006E0A63" w:rsidP="006E0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062781"/>
      <w:docPartObj>
        <w:docPartGallery w:val="Page Numbers (Bottom of Page)"/>
        <w:docPartUnique/>
      </w:docPartObj>
    </w:sdtPr>
    <w:sdtEndPr>
      <w:rPr>
        <w:noProof/>
      </w:rPr>
    </w:sdtEndPr>
    <w:sdtContent>
      <w:p w14:paraId="26FDC8D5" w14:textId="77777777" w:rsidR="00976CBF" w:rsidRDefault="00976CBF">
        <w:pPr>
          <w:pStyle w:val="Footer"/>
        </w:pPr>
        <w:r>
          <w:fldChar w:fldCharType="begin"/>
        </w:r>
        <w:r>
          <w:instrText xml:space="preserve"> PAGE   \* MERGEFORMAT </w:instrText>
        </w:r>
        <w:r>
          <w:fldChar w:fldCharType="separate"/>
        </w:r>
        <w:r>
          <w:rPr>
            <w:noProof/>
          </w:rPr>
          <w:t>2</w:t>
        </w:r>
        <w:r>
          <w:rPr>
            <w:noProof/>
          </w:rPr>
          <w:fldChar w:fldCharType="end"/>
        </w:r>
      </w:p>
    </w:sdtContent>
  </w:sdt>
  <w:p w14:paraId="710E5743" w14:textId="77777777" w:rsidR="00976CBF" w:rsidRDefault="00976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DB8E7" w14:textId="77777777" w:rsidR="006E0A63" w:rsidRDefault="006E0A63" w:rsidP="006E0A63">
      <w:pPr>
        <w:spacing w:after="0" w:line="240" w:lineRule="auto"/>
      </w:pPr>
      <w:r>
        <w:separator/>
      </w:r>
    </w:p>
  </w:footnote>
  <w:footnote w:type="continuationSeparator" w:id="0">
    <w:p w14:paraId="2E635092" w14:textId="77777777" w:rsidR="006E0A63" w:rsidRDefault="006E0A63" w:rsidP="006E0A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AAC77" w14:textId="77777777" w:rsidR="00976CBF" w:rsidRDefault="00257CDD" w:rsidP="00257CDD">
    <w:pPr>
      <w:pStyle w:val="NormalWeb"/>
    </w:pPr>
    <w:r>
      <w:rPr>
        <w:noProof/>
      </w:rPr>
      <w:drawing>
        <wp:inline distT="0" distB="0" distL="0" distR="0" wp14:anchorId="2F9C3228" wp14:editId="163CEC32">
          <wp:extent cx="931653" cy="367758"/>
          <wp:effectExtent l="0" t="0" r="1905" b="0"/>
          <wp:docPr id="877367536"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367536" name="Picture 2"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45374" cy="373174"/>
                  </a:xfrm>
                  <a:prstGeom prst="rect">
                    <a:avLst/>
                  </a:prstGeom>
                </pic:spPr>
              </pic:pic>
            </a:graphicData>
          </a:graphic>
        </wp:inline>
      </w:drawing>
    </w:r>
    <w:r>
      <w:tab/>
    </w:r>
    <w:r>
      <w:tab/>
    </w:r>
    <w:r>
      <w:tab/>
    </w:r>
    <w:r>
      <w:tab/>
    </w:r>
    <w:r>
      <w:tab/>
    </w:r>
    <w:r>
      <w:tab/>
    </w:r>
    <w:r>
      <w:tab/>
    </w:r>
    <w:r>
      <w:tab/>
    </w:r>
    <w:r>
      <w:tab/>
    </w:r>
    <w:r>
      <w:tab/>
    </w:r>
    <w:r>
      <w:tab/>
    </w:r>
    <w:r>
      <w:tab/>
    </w:r>
    <w:r>
      <w:tab/>
      <w:t xml:space="preserve">    </w:t>
    </w:r>
    <w:r w:rsidR="00976CBF">
      <w:rPr>
        <w:noProof/>
      </w:rPr>
      <w:drawing>
        <wp:inline distT="0" distB="0" distL="0" distR="0" wp14:anchorId="3A3DEE77" wp14:editId="74F21CD3">
          <wp:extent cx="1817621" cy="3881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51965" cy="395523"/>
                  </a:xfrm>
                  <a:prstGeom prst="rect">
                    <a:avLst/>
                  </a:prstGeom>
                  <a:noFill/>
                  <a:ln>
                    <a:noFill/>
                  </a:ln>
                </pic:spPr>
              </pic:pic>
            </a:graphicData>
          </a:graphic>
        </wp:inline>
      </w:drawing>
    </w:r>
  </w:p>
  <w:p w14:paraId="7DA70F31" w14:textId="77777777" w:rsidR="00976CBF" w:rsidRDefault="00976C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4C39"/>
    <w:multiLevelType w:val="hybridMultilevel"/>
    <w:tmpl w:val="C33A0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85454"/>
    <w:multiLevelType w:val="hybridMultilevel"/>
    <w:tmpl w:val="67E66DAE"/>
    <w:lvl w:ilvl="0" w:tplc="2586E956">
      <w:start w:val="1"/>
      <w:numFmt w:val="bullet"/>
      <w:pStyle w:val="Bulletstyle"/>
      <w:lvlText w:val=""/>
      <w:lvlJc w:val="left"/>
      <w:pPr>
        <w:ind w:left="947" w:hanging="360"/>
      </w:pPr>
      <w:rPr>
        <w:rFonts w:ascii="Symbol" w:hAnsi="Symbol" w:hint="default"/>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2" w15:restartNumberingAfterBreak="0">
    <w:nsid w:val="0B4F7F12"/>
    <w:multiLevelType w:val="hybridMultilevel"/>
    <w:tmpl w:val="387C4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D1437B"/>
    <w:multiLevelType w:val="hybridMultilevel"/>
    <w:tmpl w:val="176E3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DA069C"/>
    <w:multiLevelType w:val="hybridMultilevel"/>
    <w:tmpl w:val="7C568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C11DF5"/>
    <w:multiLevelType w:val="hybridMultilevel"/>
    <w:tmpl w:val="1CFC48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A45566D"/>
    <w:multiLevelType w:val="hybridMultilevel"/>
    <w:tmpl w:val="123285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295BB1"/>
    <w:multiLevelType w:val="hybridMultilevel"/>
    <w:tmpl w:val="C1A68EFE"/>
    <w:lvl w:ilvl="0" w:tplc="0DEEB8A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EA25F8"/>
    <w:multiLevelType w:val="hybridMultilevel"/>
    <w:tmpl w:val="89CCCA5E"/>
    <w:lvl w:ilvl="0" w:tplc="34F60CE4">
      <w:start w:val="1"/>
      <w:numFmt w:val="decimal"/>
      <w:lvlText w:val="%1."/>
      <w:lvlJc w:val="left"/>
      <w:pPr>
        <w:ind w:left="788" w:hanging="360"/>
      </w:pPr>
      <w:rPr>
        <w:rFonts w:hint="default"/>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9" w15:restartNumberingAfterBreak="0">
    <w:nsid w:val="5498072D"/>
    <w:multiLevelType w:val="hybridMultilevel"/>
    <w:tmpl w:val="F4CA7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8"/>
  </w:num>
  <w:num w:numId="5">
    <w:abstractNumId w:val="4"/>
  </w:num>
  <w:num w:numId="6">
    <w:abstractNumId w:val="3"/>
  </w:num>
  <w:num w:numId="7">
    <w:abstractNumId w:val="5"/>
  </w:num>
  <w:num w:numId="8">
    <w:abstractNumId w:val="7"/>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6B9"/>
    <w:rsid w:val="00004939"/>
    <w:rsid w:val="000226B9"/>
    <w:rsid w:val="0005425E"/>
    <w:rsid w:val="00062CDB"/>
    <w:rsid w:val="000E304B"/>
    <w:rsid w:val="00151F7E"/>
    <w:rsid w:val="00257CDD"/>
    <w:rsid w:val="005E4641"/>
    <w:rsid w:val="006E0A63"/>
    <w:rsid w:val="00976CBF"/>
    <w:rsid w:val="00A632F1"/>
    <w:rsid w:val="00BF7BC5"/>
    <w:rsid w:val="00FE2FEC"/>
    <w:rsid w:val="00FF49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E7209"/>
  <w15:chartTrackingRefBased/>
  <w15:docId w15:val="{F837DBC0-572C-42E5-ADB3-54778DF55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ph"/>
    <w:qFormat/>
    <w:rsid w:val="000226B9"/>
    <w:pPr>
      <w:spacing w:after="120" w:line="252" w:lineRule="auto"/>
    </w:pPr>
    <w:rPr>
      <w:rFonts w:ascii="Calibri" w:hAnsi="Calibri"/>
      <w:color w:val="000000"/>
      <w:kern w:val="2"/>
      <w:szCs w:val="24"/>
      <w14:ligatures w14:val="standardContextual"/>
    </w:rPr>
  </w:style>
  <w:style w:type="paragraph" w:styleId="Heading2">
    <w:name w:val="heading 2"/>
    <w:basedOn w:val="Normal"/>
    <w:next w:val="Normal"/>
    <w:link w:val="Heading2Char1"/>
    <w:autoRedefine/>
    <w:uiPriority w:val="1"/>
    <w:unhideWhenUsed/>
    <w:qFormat/>
    <w:rsid w:val="000226B9"/>
    <w:pPr>
      <w:keepNext/>
      <w:keepLines/>
      <w:spacing w:before="160"/>
      <w:outlineLvl w:val="1"/>
    </w:pPr>
    <w:rPr>
      <w:rFonts w:eastAsiaTheme="majorEastAsia" w:cs="Arial"/>
      <w:sz w:val="30"/>
      <w:szCs w:val="26"/>
    </w:rPr>
  </w:style>
  <w:style w:type="paragraph" w:styleId="Heading4">
    <w:name w:val="heading 4"/>
    <w:basedOn w:val="BasicParagraph"/>
    <w:next w:val="Normal"/>
    <w:link w:val="Heading4Char"/>
    <w:uiPriority w:val="9"/>
    <w:unhideWhenUsed/>
    <w:qFormat/>
    <w:rsid w:val="000226B9"/>
    <w:pPr>
      <w:suppressAutoHyphens/>
      <w:outlineLvl w:val="3"/>
    </w:pPr>
    <w:rPr>
      <w:rFonts w:ascii="Arial" w:hAnsi="Arial" w:cs="Arial"/>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0226B9"/>
    <w:rPr>
      <w:rFonts w:asciiTheme="majorHAnsi" w:eastAsiaTheme="majorEastAsia" w:hAnsiTheme="majorHAnsi" w:cstheme="majorBidi"/>
      <w:color w:val="2F5496" w:themeColor="accent1" w:themeShade="BF"/>
      <w:kern w:val="2"/>
      <w:sz w:val="26"/>
      <w:szCs w:val="26"/>
      <w14:ligatures w14:val="standardContextual"/>
    </w:rPr>
  </w:style>
  <w:style w:type="character" w:customStyle="1" w:styleId="Heading4Char">
    <w:name w:val="Heading 4 Char"/>
    <w:basedOn w:val="DefaultParagraphFont"/>
    <w:link w:val="Heading4"/>
    <w:uiPriority w:val="9"/>
    <w:rsid w:val="000226B9"/>
    <w:rPr>
      <w:rFonts w:ascii="Arial" w:hAnsi="Arial" w:cs="Arial"/>
      <w:b/>
      <w:bCs/>
      <w:color w:val="000000"/>
      <w:sz w:val="24"/>
      <w:szCs w:val="20"/>
      <w14:ligatures w14:val="standardContextual"/>
    </w:rPr>
  </w:style>
  <w:style w:type="paragraph" w:customStyle="1" w:styleId="BasicParagraph">
    <w:name w:val="[Basic Paragraph]"/>
    <w:basedOn w:val="Normal"/>
    <w:link w:val="BasicParagraphChar"/>
    <w:uiPriority w:val="99"/>
    <w:rsid w:val="000226B9"/>
    <w:pPr>
      <w:autoSpaceDE w:val="0"/>
      <w:autoSpaceDN w:val="0"/>
      <w:adjustRightInd w:val="0"/>
      <w:textAlignment w:val="center"/>
    </w:pPr>
    <w:rPr>
      <w:rFonts w:ascii="Minion Pro" w:hAnsi="Minion Pro" w:cs="Minion Pro"/>
      <w:kern w:val="0"/>
    </w:rPr>
  </w:style>
  <w:style w:type="character" w:styleId="Hyperlink">
    <w:name w:val="Hyperlink"/>
    <w:basedOn w:val="DefaultParagraphFont"/>
    <w:uiPriority w:val="99"/>
    <w:qFormat/>
    <w:rsid w:val="000226B9"/>
    <w:rPr>
      <w:rFonts w:asciiTheme="minorHAnsi" w:hAnsiTheme="minorHAnsi"/>
      <w:color w:val="002060"/>
      <w:u w:val="single"/>
    </w:rPr>
  </w:style>
  <w:style w:type="paragraph" w:styleId="ListParagraph">
    <w:name w:val="List Paragraph"/>
    <w:basedOn w:val="Normal"/>
    <w:uiPriority w:val="34"/>
    <w:qFormat/>
    <w:rsid w:val="000226B9"/>
    <w:pPr>
      <w:spacing w:line="300" w:lineRule="atLeast"/>
      <w:contextualSpacing/>
    </w:pPr>
  </w:style>
  <w:style w:type="paragraph" w:customStyle="1" w:styleId="Bulletstyle">
    <w:name w:val="Bullet style"/>
    <w:basedOn w:val="BasicParagraph"/>
    <w:link w:val="BulletstyleChar"/>
    <w:uiPriority w:val="4"/>
    <w:qFormat/>
    <w:rsid w:val="000226B9"/>
    <w:pPr>
      <w:numPr>
        <w:numId w:val="1"/>
      </w:numPr>
      <w:suppressAutoHyphens/>
      <w:spacing w:before="120" w:line="240" w:lineRule="auto"/>
      <w:ind w:hanging="357"/>
    </w:pPr>
    <w:rPr>
      <w:rFonts w:ascii="Arial" w:hAnsi="Arial" w:cs="Arial"/>
    </w:rPr>
  </w:style>
  <w:style w:type="character" w:customStyle="1" w:styleId="BasicParagraphChar">
    <w:name w:val="[Basic Paragraph] Char"/>
    <w:basedOn w:val="DefaultParagraphFont"/>
    <w:link w:val="BasicParagraph"/>
    <w:uiPriority w:val="99"/>
    <w:rsid w:val="000226B9"/>
    <w:rPr>
      <w:rFonts w:ascii="Minion Pro" w:hAnsi="Minion Pro" w:cs="Minion Pro"/>
      <w:color w:val="000000"/>
      <w:sz w:val="24"/>
      <w:szCs w:val="24"/>
      <w14:ligatures w14:val="standardContextual"/>
    </w:rPr>
  </w:style>
  <w:style w:type="character" w:customStyle="1" w:styleId="BulletstyleChar">
    <w:name w:val="Bullet style Char"/>
    <w:basedOn w:val="BasicParagraphChar"/>
    <w:link w:val="Bulletstyle"/>
    <w:uiPriority w:val="4"/>
    <w:rsid w:val="000226B9"/>
    <w:rPr>
      <w:rFonts w:ascii="Arial" w:hAnsi="Arial" w:cs="Arial"/>
      <w:color w:val="000000"/>
      <w:sz w:val="24"/>
      <w:szCs w:val="24"/>
      <w14:ligatures w14:val="standardContextual"/>
    </w:rPr>
  </w:style>
  <w:style w:type="character" w:customStyle="1" w:styleId="Heading2Char1">
    <w:name w:val="Heading 2 Char1"/>
    <w:basedOn w:val="DefaultParagraphFont"/>
    <w:link w:val="Heading2"/>
    <w:uiPriority w:val="1"/>
    <w:rsid w:val="000226B9"/>
    <w:rPr>
      <w:rFonts w:ascii="Arial" w:eastAsiaTheme="majorEastAsia" w:hAnsi="Arial" w:cs="Arial"/>
      <w:color w:val="000000"/>
      <w:kern w:val="2"/>
      <w:sz w:val="48"/>
      <w:szCs w:val="26"/>
      <w14:ligatures w14:val="standardContextual"/>
    </w:rPr>
  </w:style>
  <w:style w:type="character" w:customStyle="1" w:styleId="normaltextrun">
    <w:name w:val="normaltextrun"/>
    <w:basedOn w:val="DefaultParagraphFont"/>
    <w:uiPriority w:val="1"/>
    <w:rsid w:val="00FF49AA"/>
    <w:rPr>
      <w:rFonts w:ascii="Arial" w:eastAsiaTheme="minorEastAsia" w:hAnsi="Arial" w:cstheme="minorBidi"/>
      <w:sz w:val="24"/>
      <w:szCs w:val="24"/>
    </w:rPr>
  </w:style>
  <w:style w:type="paragraph" w:styleId="Header">
    <w:name w:val="header"/>
    <w:basedOn w:val="Normal"/>
    <w:link w:val="HeaderChar"/>
    <w:uiPriority w:val="99"/>
    <w:unhideWhenUsed/>
    <w:rsid w:val="006E0A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0A63"/>
    <w:rPr>
      <w:kern w:val="2"/>
      <w:sz w:val="24"/>
      <w:szCs w:val="24"/>
      <w14:ligatures w14:val="standardContextual"/>
    </w:rPr>
  </w:style>
  <w:style w:type="paragraph" w:styleId="Footer">
    <w:name w:val="footer"/>
    <w:basedOn w:val="Normal"/>
    <w:link w:val="FooterChar"/>
    <w:uiPriority w:val="99"/>
    <w:unhideWhenUsed/>
    <w:rsid w:val="006E0A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0A63"/>
    <w:rPr>
      <w:kern w:val="2"/>
      <w:sz w:val="24"/>
      <w:szCs w:val="24"/>
      <w14:ligatures w14:val="standardContextual"/>
    </w:rPr>
  </w:style>
  <w:style w:type="paragraph" w:styleId="NormalWeb">
    <w:name w:val="Normal (Web)"/>
    <w:basedOn w:val="Normal"/>
    <w:uiPriority w:val="99"/>
    <w:semiHidden/>
    <w:unhideWhenUsed/>
    <w:rsid w:val="00976CB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E2FEC"/>
    <w:rPr>
      <w:b/>
      <w:bCs/>
    </w:rPr>
  </w:style>
  <w:style w:type="paragraph" w:customStyle="1" w:styleId="Title1">
    <w:name w:val="Title1"/>
    <w:pPr>
      <w:spacing w:after="120"/>
    </w:pPr>
    <w:rPr>
      <w:rFonts w:ascii="Calibri" w:hAnsi="Calibri"/>
      <w:color w:val="000000"/>
      <w:sz w:val="46"/>
    </w:rPr>
  </w:style>
  <w:style w:type="paragraph" w:customStyle="1" w:styleId="Heading11">
    <w:name w:val="Heading 11"/>
    <w:pPr>
      <w:spacing w:before="160" w:after="120"/>
    </w:pPr>
    <w:rPr>
      <w:rFonts w:ascii="Calibri" w:hAnsi="Calibri"/>
      <w:color w:val="000000"/>
      <w:sz w:val="30"/>
    </w:rPr>
  </w:style>
  <w:style w:type="paragraph" w:customStyle="1" w:styleId="ListBullet1">
    <w:name w:val="List Bullet1"/>
    <w:pPr>
      <w:spacing w:after="120"/>
    </w:pPr>
    <w:rPr>
      <w:rFonts w:ascii="Calibri" w:hAnsi="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415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868</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K. Sadler</dc:creator>
  <cp:keywords/>
  <dc:description/>
  <cp:lastModifiedBy>Mr K. Sadler</cp:lastModifiedBy>
  <cp:revision>2</cp:revision>
  <dcterms:created xsi:type="dcterms:W3CDTF">2026-10-20T15:59:00Z</dcterms:created>
  <dcterms:modified xsi:type="dcterms:W3CDTF">2026-10-20T15:59:00Z</dcterms:modified>
</cp:coreProperties>
</file>